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 xml:space="preserve">ТЕРРИТОРИАЛЬНАЯ ИЗБИРАТЕЛЬНАЯ КОМИССИЯ </w:t>
      </w:r>
      <w:r>
        <w:rPr>
          <w:rFonts w:eastAsia="Calibri" w:cs="Times New Roman"/>
          <w:b/>
          <w:sz w:val="32"/>
          <w:szCs w:val="32"/>
          <w:lang w:val="ru-RU"/>
        </w:rPr>
        <w:t xml:space="preserve">САНДОВ</w:t>
      </w:r>
      <w:r>
        <w:rPr>
          <w:rFonts w:eastAsia="Calibri" w:cs="Times New Roman"/>
          <w:b/>
          <w:sz w:val="32"/>
          <w:szCs w:val="32"/>
        </w:rPr>
        <w:t xml:space="preserve">СКОГО ОКРУГА</w:t>
      </w:r>
      <w:r>
        <w:rPr>
          <w:rFonts w:eastAsia="Calibri" w:cs="Times New Roman"/>
          <w:b/>
          <w:sz w:val="32"/>
          <w:szCs w:val="32"/>
        </w:rPr>
      </w:r>
    </w:p>
    <w:p>
      <w:pPr>
        <w:jc w:val="center"/>
        <w:spacing w:after="200" w:line="360" w:lineRule="auto"/>
        <w:rPr>
          <w:rFonts w:eastAsia="Calibri" w:cs="Times New Roman"/>
          <w:b/>
          <w:sz w:val="32"/>
          <w:szCs w:val="32"/>
        </w:rPr>
      </w:pPr>
      <w:r>
        <w:rPr>
          <w:rFonts w:eastAsia="Calibri" w:cs="Times New Roman"/>
          <w:b/>
          <w:sz w:val="32"/>
          <w:szCs w:val="32"/>
        </w:rPr>
        <w:t xml:space="preserve">ПОСТАНОВЛЕНИЕ</w:t>
      </w:r>
      <w:r>
        <w:rPr>
          <w:rFonts w:eastAsia="Calibri" w:cs="Times New Roman"/>
          <w:b/>
          <w:sz w:val="32"/>
          <w:szCs w:val="32"/>
        </w:rPr>
      </w:r>
    </w:p>
    <w:tbl>
      <w:tblPr>
        <w:tblStyle w:val="676"/>
        <w:tblW w:w="9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1"/>
        <w:gridCol w:w="3091"/>
        <w:gridCol w:w="3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1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hint="default" w:eastAsia="Times New Roman"/>
                <w:sz w:val="28"/>
                <w:szCs w:val="28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января 2026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30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7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 70/232-5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rFonts w:hint="default" w:eastAsia="Calibri" w:cs="Times New Roman"/>
          <w:sz w:val="24"/>
          <w:szCs w:val="24"/>
          <w:lang w:val="ru-RU"/>
        </w:rPr>
        <w:t xml:space="preserve">п. Сандово</w:t>
      </w:r>
      <w:r>
        <w:rPr>
          <w:sz w:val="24"/>
          <w:szCs w:val="24"/>
        </w:rPr>
      </w:r>
    </w:p>
    <w:p>
      <w:pPr>
        <w:jc w:val="center"/>
        <w:spacing w:before="360" w:after="36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Об организации обучения членов избирательных комиссий и других участников избирательного процесса Сандовского муниципального округа в 2026 году</w:t>
      </w:r>
      <w:r>
        <w:rPr>
          <w:rFonts w:eastAsia="Times New Roman" w:cs="Times New Roman"/>
          <w:b/>
          <w:szCs w:val="28"/>
          <w:lang w:eastAsia="ru-RU"/>
        </w:rPr>
      </w:r>
    </w:p>
    <w:p>
      <w:pPr>
        <w:ind w:left="57" w:firstLine="709"/>
        <w:jc w:val="both"/>
        <w:spacing w:line="360" w:lineRule="auto"/>
        <w:rPr>
          <w:rFonts w:eastAsia="Times New Roman" w:cs="Times New Roman"/>
          <w:b/>
          <w:spacing w:val="2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соот</w:t>
      </w:r>
      <w:r>
        <w:rPr>
          <w:rFonts w:eastAsia="Times New Roman" w:cs="Times New Roman"/>
          <w:szCs w:val="28"/>
          <w:lang w:eastAsia="ru-RU"/>
        </w:rPr>
        <w:t xml:space="preserve">ветствии с подпунктами «в», «е» пункта 9 статьи 26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постановления избирательной комиссии Тверской области от 2</w:t>
      </w:r>
      <w:r>
        <w:rPr>
          <w:rFonts w:hint="default" w:eastAsia="Times New Roman" w:cs="Times New Roman"/>
          <w:szCs w:val="28"/>
          <w:lang w:val="en-US" w:eastAsia="ru-RU"/>
        </w:rPr>
        <w:t xml:space="preserve">5</w:t>
      </w:r>
      <w:r>
        <w:rPr>
          <w:rFonts w:eastAsia="Times New Roman" w:cs="Times New Roman"/>
          <w:szCs w:val="28"/>
          <w:lang w:eastAsia="ru-RU"/>
        </w:rPr>
        <w:t xml:space="preserve">.12.202</w:t>
      </w:r>
      <w:r>
        <w:rPr>
          <w:rFonts w:hint="default" w:eastAsia="Times New Roman" w:cs="Times New Roman"/>
          <w:szCs w:val="28"/>
          <w:lang w:val="en-US" w:eastAsia="ru-RU"/>
        </w:rPr>
        <w:t xml:space="preserve">5</w:t>
      </w:r>
      <w:r>
        <w:rPr>
          <w:rFonts w:eastAsia="Times New Roman" w:cs="Times New Roman"/>
          <w:szCs w:val="28"/>
          <w:lang w:eastAsia="ru-RU"/>
        </w:rPr>
        <w:t xml:space="preserve"> г. №1</w:t>
      </w:r>
      <w:r>
        <w:rPr>
          <w:rFonts w:hint="default" w:eastAsia="Times New Roman" w:cs="Times New Roman"/>
          <w:szCs w:val="28"/>
          <w:lang w:val="en-US" w:eastAsia="ru-RU"/>
        </w:rPr>
        <w:t xml:space="preserve">8</w:t>
      </w:r>
      <w:r>
        <w:rPr>
          <w:rFonts w:eastAsia="Times New Roman" w:cs="Times New Roman"/>
          <w:szCs w:val="28"/>
          <w:lang w:eastAsia="ru-RU"/>
        </w:rPr>
        <w:t xml:space="preserve">1/</w:t>
      </w:r>
      <w:r>
        <w:rPr>
          <w:rFonts w:hint="default" w:eastAsia="Times New Roman" w:cs="Times New Roman"/>
          <w:szCs w:val="28"/>
          <w:lang w:val="en-US" w:eastAsia="ru-RU"/>
        </w:rPr>
        <w:t xml:space="preserve">2</w:t>
      </w:r>
      <w:r>
        <w:rPr>
          <w:rFonts w:eastAsia="Times New Roman" w:cs="Times New Roman"/>
          <w:szCs w:val="28"/>
          <w:lang w:eastAsia="ru-RU"/>
        </w:rPr>
        <w:t xml:space="preserve">13</w:t>
      </w:r>
      <w:r>
        <w:rPr>
          <w:rFonts w:hint="default" w:eastAsia="Times New Roman" w:cs="Times New Roman"/>
          <w:szCs w:val="28"/>
          <w:lang w:val="en-US" w:eastAsia="ru-RU"/>
        </w:rPr>
        <w:t xml:space="preserve">8</w:t>
      </w:r>
      <w:r>
        <w:rPr>
          <w:rFonts w:eastAsia="Times New Roman" w:cs="Times New Roman"/>
          <w:szCs w:val="28"/>
          <w:lang w:eastAsia="ru-RU"/>
        </w:rPr>
        <w:t xml:space="preserve">-7 «Об</w:t>
      </w:r>
      <w:r>
        <w:rPr>
          <w:rFonts w:hint="default" w:eastAsia="Times New Roman" w:cs="Times New Roman"/>
          <w:szCs w:val="28"/>
          <w:lang w:val="en-US" w:eastAsia="ru-RU"/>
        </w:rPr>
        <w:t xml:space="preserve"> организации</w:t>
      </w:r>
      <w:r>
        <w:rPr>
          <w:rFonts w:eastAsia="Times New Roman" w:cs="Times New Roman"/>
          <w:szCs w:val="28"/>
          <w:lang w:eastAsia="ru-RU"/>
        </w:rPr>
        <w:t xml:space="preserve"> обучения членов избирательных комиссий и других участников избирательного процесса в</w:t>
      </w:r>
      <w:r>
        <w:rPr>
          <w:rFonts w:hint="default" w:eastAsia="Times New Roman" w:cs="Times New Roman"/>
          <w:szCs w:val="28"/>
          <w:lang w:val="en-US"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202</w:t>
      </w:r>
      <w:r>
        <w:rPr>
          <w:rFonts w:hint="default" w:eastAsia="Times New Roman" w:cs="Times New Roman"/>
          <w:szCs w:val="28"/>
          <w:lang w:val="en-US" w:eastAsia="ru-RU"/>
        </w:rPr>
        <w:t xml:space="preserve">6</w:t>
      </w:r>
      <w:r>
        <w:rPr>
          <w:rFonts w:eastAsia="Times New Roman" w:cs="Times New Roman"/>
          <w:szCs w:val="28"/>
          <w:lang w:eastAsia="ru-RU"/>
        </w:rPr>
        <w:t xml:space="preserve"> году»</w:t>
      </w:r>
      <w:r>
        <w:rPr>
          <w:rFonts w:hint="default" w:eastAsia="Times New Roman" w:cs="Times New Roman"/>
          <w:szCs w:val="28"/>
          <w:lang w:val="en-US" w:eastAsia="ru-RU"/>
        </w:rPr>
        <w:t xml:space="preserve">                </w:t>
      </w:r>
      <w:r>
        <w:rPr>
          <w:rFonts w:eastAsia="Times New Roman" w:cs="Times New Roman"/>
          <w:szCs w:val="28"/>
          <w:lang w:eastAsia="ru-RU"/>
        </w:rPr>
        <w:t xml:space="preserve">территориальная избирательная комиссия Сандовского округа </w:t>
      </w:r>
      <w:r>
        <w:rPr>
          <w:rFonts w:eastAsia="Times New Roman" w:cs="Times New Roman"/>
          <w:b/>
          <w:spacing w:val="20"/>
          <w:szCs w:val="28"/>
          <w:lang w:eastAsia="ru-RU"/>
        </w:rPr>
        <w:t xml:space="preserve">постановляет:</w:t>
      </w:r>
      <w:r>
        <w:rPr>
          <w:rFonts w:eastAsia="Times New Roman" w:cs="Times New Roman"/>
          <w:b/>
          <w:spacing w:val="20"/>
          <w:szCs w:val="28"/>
          <w:lang w:eastAsia="ru-RU"/>
        </w:rPr>
      </w:r>
    </w:p>
    <w:p>
      <w:pPr>
        <w:pStyle w:val="675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Утвердить План мероприятий по обучению членов избирательных комиссий и других участников избирательного процесса </w:t>
      </w:r>
      <w:r>
        <w:rPr>
          <w:szCs w:val="28"/>
          <w:lang w:val="ru-RU"/>
        </w:rPr>
        <w:t xml:space="preserve">Сандов</w:t>
      </w:r>
      <w:r>
        <w:rPr>
          <w:szCs w:val="28"/>
        </w:rPr>
        <w:t xml:space="preserve">ского муниципального округа в 2026 году (далее - План мероприятий) (прилагается). </w:t>
      </w:r>
      <w:r>
        <w:rPr>
          <w:szCs w:val="28"/>
        </w:rPr>
      </w:r>
    </w:p>
    <w:p>
      <w:pPr>
        <w:pStyle w:val="675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Обеспечить своевременный ввод данных </w:t>
      </w:r>
      <w:r>
        <w:rPr>
          <w:szCs w:val="28"/>
        </w:rPr>
        <w:t xml:space="preserve">об обучении и тестировании членов избирательных комиссий и резерва составов участковых комиссий в компонент «Избирательные комиссии» подсистемы автоматизации избирательных процессов Государственной автоматизированной системы Российской Федерации «Выборы». </w:t>
      </w:r>
      <w:r>
        <w:rPr>
          <w:szCs w:val="28"/>
        </w:rPr>
      </w:r>
    </w:p>
    <w:p>
      <w:pPr>
        <w:pStyle w:val="675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Направить не позднее 20 января 2026 года в избирательную комиссию Тверской области план мероприятий по обучению членов участковых избирательных комиссий</w:t>
      </w:r>
      <w:r>
        <w:rPr>
          <w:rFonts w:hint="default"/>
          <w:szCs w:val="28"/>
          <w:lang w:val="ru-RU"/>
        </w:rPr>
        <w:t xml:space="preserve"> и </w:t>
      </w:r>
      <w:r>
        <w:rPr>
          <w:szCs w:val="28"/>
        </w:rPr>
        <w:t xml:space="preserve">других участников избирательного процесса 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 xml:space="preserve">в 2026 году.</w:t>
      </w:r>
      <w:r>
        <w:rPr>
          <w:szCs w:val="28"/>
        </w:rPr>
      </w:r>
    </w:p>
    <w:p>
      <w:pPr>
        <w:pStyle w:val="675"/>
        <w:numPr>
          <w:ilvl w:val="0"/>
          <w:numId w:val="1"/>
        </w:numPr>
        <w:ind w:left="0" w:firstLine="709"/>
        <w:rPr>
          <w:szCs w:val="28"/>
        </w:rPr>
      </w:pPr>
      <w:r>
        <w:rPr>
          <w:rFonts w:eastAsia="Calibri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rFonts w:eastAsia="Calibri"/>
          <w:szCs w:val="28"/>
          <w:lang w:val="ru-RU"/>
        </w:rPr>
        <w:t xml:space="preserve">Сандовского</w:t>
      </w:r>
      <w:r>
        <w:rPr>
          <w:rFonts w:eastAsia="Calibri"/>
          <w:szCs w:val="28"/>
        </w:rPr>
        <w:t xml:space="preserve"> округа в информационно-телекоммуникационной сети «Интернет».</w:t>
      </w:r>
      <w:r>
        <w:rPr>
          <w:szCs w:val="28"/>
        </w:rPr>
      </w:r>
    </w:p>
    <w:p>
      <w:pPr>
        <w:pStyle w:val="675"/>
        <w:numPr>
          <w:ilvl w:val="0"/>
          <w:numId w:val="1"/>
        </w:numPr>
        <w:ind w:left="0" w:firstLine="709"/>
        <w:rPr>
          <w:szCs w:val="28"/>
        </w:rPr>
      </w:pPr>
      <w:r>
        <w:rPr>
          <w:rFonts w:eastAsia="Calibri"/>
          <w:szCs w:val="28"/>
        </w:rPr>
        <w:t xml:space="preserve">Возложить контроль исполнения настоящего постановления на председателя территориальной избирательной комиссии </w:t>
      </w:r>
      <w:r>
        <w:rPr>
          <w:rFonts w:eastAsia="Calibri"/>
          <w:szCs w:val="28"/>
          <w:lang w:val="ru-RU"/>
        </w:rPr>
        <w:t xml:space="preserve">Сандовского</w:t>
      </w:r>
      <w:r>
        <w:rPr>
          <w:rFonts w:eastAsia="Calibri"/>
          <w:szCs w:val="28"/>
        </w:rPr>
        <w:t xml:space="preserve"> округа </w:t>
      </w:r>
      <w:r>
        <w:rPr>
          <w:rFonts w:eastAsia="Calibri"/>
          <w:szCs w:val="28"/>
          <w:lang w:val="ru-RU"/>
        </w:rPr>
        <w:t xml:space="preserve">Е</w:t>
      </w:r>
      <w:r>
        <w:rPr>
          <w:rFonts w:hint="default" w:eastAsia="Calibri"/>
          <w:szCs w:val="28"/>
          <w:lang w:val="ru-RU"/>
        </w:rPr>
        <w:t xml:space="preserve">.И. Михайлову.</w:t>
      </w:r>
      <w:r>
        <w:rPr>
          <w:szCs w:val="28"/>
        </w:rPr>
      </w:r>
    </w:p>
    <w:p>
      <w:pPr>
        <w:ind w:left="57" w:firstLine="709"/>
        <w:jc w:val="both"/>
        <w:spacing w:line="36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tbl>
      <w:tblPr>
        <w:tblStyle w:val="662"/>
        <w:tblW w:w="94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9"/>
        <w:gridCol w:w="2783"/>
        <w:gridCol w:w="2466"/>
      </w:tblGrid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Председатель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Сандовского округа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783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 w:cs="Times New Roman"/>
                <w:szCs w:val="28"/>
                <w:lang w:eastAsia="ru-RU"/>
              </w:rPr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466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 w:cs="Times New Roman"/>
                <w:szCs w:val="28"/>
                <w:lang w:eastAsia="ru-RU"/>
              </w:rPr>
              <w:outlineLvl w:val="1"/>
            </w:pPr>
            <w:r>
              <w:rPr>
                <w:rFonts w:eastAsia="Calibri" w:cs="Times New Roman"/>
                <w:szCs w:val="28"/>
                <w:lang w:val="ru-RU"/>
              </w:rPr>
              <w:t xml:space="preserve">Е</w:t>
            </w:r>
            <w:r>
              <w:rPr>
                <w:rFonts w:hint="default" w:eastAsia="Calibri" w:cs="Times New Roman"/>
                <w:szCs w:val="28"/>
                <w:lang w:val="ru-RU"/>
              </w:rPr>
              <w:t xml:space="preserve">.И. Михайлова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783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 w:cs="Times New Roman"/>
                <w:szCs w:val="28"/>
                <w:lang w:eastAsia="ru-RU"/>
              </w:rPr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466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 w:cs="Times New Roman"/>
                <w:szCs w:val="28"/>
                <w:lang w:eastAsia="ru-RU"/>
              </w:rPr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Секретарь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Сандовского округа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783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 w:cs="Times New Roman"/>
                <w:bCs/>
                <w:iCs/>
                <w:szCs w:val="28"/>
                <w:lang w:eastAsia="ru-RU"/>
              </w:rPr>
              <w:outlineLvl w:val="1"/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</w:r>
          </w:p>
        </w:tc>
        <w:tc>
          <w:tcPr>
            <w:tcW w:w="2466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 w:cs="Times New Roman"/>
                <w:bCs/>
                <w:iCs/>
                <w:szCs w:val="28"/>
                <w:lang w:eastAsia="ru-RU"/>
              </w:rPr>
              <w:outlineLvl w:val="1"/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Т</w:t>
            </w:r>
            <w:r>
              <w:rPr>
                <w:rFonts w:hint="default" w:eastAsia="Times New Roman" w:cs="Times New Roman"/>
                <w:bCs/>
                <w:iCs/>
                <w:szCs w:val="28"/>
                <w:lang w:val="en-US" w:eastAsia="ru-RU"/>
              </w:rPr>
              <w:t xml:space="preserve">.Н. Фомина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200" w:line="360" w:lineRule="auto"/>
        <w:rPr>
          <w:rFonts w:ascii="Calibri" w:hAnsi="Calibri" w:eastAsia="Calibri" w:cs="Times New Roman"/>
          <w:szCs w:val="28"/>
        </w:rPr>
      </w:pPr>
      <w:r>
        <w:rPr>
          <w:rFonts w:ascii="Calibri" w:hAnsi="Calibri" w:eastAsia="Calibri" w:cs="Times New Roman"/>
          <w:szCs w:val="28"/>
        </w:rPr>
      </w:r>
      <w:r>
        <w:rPr>
          <w:rFonts w:ascii="Calibri" w:hAnsi="Calibri" w:eastAsia="Calibri" w:cs="Times New Roman"/>
          <w:szCs w:val="28"/>
        </w:rPr>
      </w:r>
    </w:p>
    <w:p>
      <w:pPr>
        <w:ind w:firstLine="851"/>
        <w:jc w:val="center"/>
        <w:rPr>
          <w:rFonts w:eastAsia="Calibri" w:cs="Times New Roman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ind w:left="1020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Приложение</w:t>
      </w:r>
      <w:r>
        <w:rPr>
          <w:rFonts w:eastAsia="Calibri" w:cs="Times New Roman"/>
          <w:szCs w:val="28"/>
        </w:rPr>
      </w:r>
    </w:p>
    <w:p>
      <w:pPr>
        <w:ind w:left="1020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 постановлению территориальной избирательной комиссии </w:t>
      </w:r>
      <w:r>
        <w:rPr>
          <w:rFonts w:eastAsia="Calibri" w:cs="Times New Roman"/>
          <w:szCs w:val="28"/>
          <w:lang w:val="ru-RU"/>
        </w:rPr>
        <w:t xml:space="preserve">Сандовского</w:t>
      </w:r>
      <w:r>
        <w:rPr>
          <w:rFonts w:eastAsia="Calibri" w:cs="Times New Roman"/>
          <w:szCs w:val="28"/>
        </w:rPr>
        <w:t xml:space="preserve"> округа</w:t>
      </w:r>
      <w:r>
        <w:rPr>
          <w:rFonts w:eastAsia="Calibri" w:cs="Times New Roman"/>
          <w:szCs w:val="28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                                                                                                                                                    от 1</w:t>
      </w:r>
      <w:r>
        <w:rPr>
          <w:rFonts w:hint="default" w:eastAsia="Calibri" w:cs="Times New Roman"/>
          <w:szCs w:val="28"/>
          <w:lang w:val="ru-RU"/>
        </w:rPr>
        <w:t xml:space="preserve">9</w:t>
      </w:r>
      <w:r>
        <w:rPr>
          <w:rFonts w:eastAsia="Calibri" w:cs="Times New Roman"/>
          <w:szCs w:val="28"/>
        </w:rPr>
        <w:t xml:space="preserve"> января 2026 г.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70/232-5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10206"/>
        <w:jc w:val="both"/>
        <w:rPr>
          <w:rFonts w:eastAsia="Calibri" w:cs="Times New Roman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/>
    </w:p>
    <w:p>
      <w:pPr>
        <w:pStyle w:val="678"/>
        <w:jc w:val="center"/>
        <w:spacing w:before="36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обучению членов избирательных комиссий и других участников избирательного процесса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Сандовс</w:t>
      </w:r>
      <w:r>
        <w:rPr>
          <w:rFonts w:ascii="Times New Roman" w:hAnsi="Times New Roman" w:cs="Times New Roman"/>
          <w:sz w:val="28"/>
          <w:szCs w:val="28"/>
        </w:rPr>
        <w:t xml:space="preserve">ком муниципальном округе на 2026 год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69"/>
        <w:tblW w:w="14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0"/>
        <w:gridCol w:w="7754"/>
        <w:gridCol w:w="2545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/>
          <w:tblHeader/>
        </w:trPr>
        <w:tc>
          <w:tcPr>
            <w:tcW w:w="7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№ п/п</w:t>
            </w:r>
            <w:r>
              <w:rPr>
                <w:rFonts w:cs="Times New Roman"/>
                <w:b/>
                <w:szCs w:val="28"/>
              </w:rPr>
            </w:r>
          </w:p>
        </w:tc>
        <w:tc>
          <w:tcPr>
            <w:tcW w:w="77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Наименование мероприятия и его содержания</w:t>
            </w:r>
            <w:r>
              <w:rPr>
                <w:rFonts w:cs="Times New Roman"/>
                <w:b/>
                <w:szCs w:val="28"/>
              </w:rPr>
            </w:r>
          </w:p>
        </w:tc>
        <w:tc>
          <w:tcPr>
            <w:tcW w:w="25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Срок исполнения</w:t>
            </w:r>
            <w:r>
              <w:rPr>
                <w:rFonts w:cs="Times New Roman"/>
                <w:b/>
                <w:szCs w:val="28"/>
              </w:rPr>
            </w:r>
          </w:p>
        </w:tc>
        <w:tc>
          <w:tcPr>
            <w:tcW w:w="38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Исполнители</w:t>
            </w:r>
            <w:r>
              <w:rPr>
                <w:rFonts w:cs="Times New Roman"/>
                <w:b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1"/>
        </w:trPr>
        <w:tc>
          <w:tcPr>
            <w:tcW w:w="740" w:type="dxa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ind w:hanging="69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7754" w:type="dxa"/>
            <w:textDirection w:val="lrTb"/>
            <w:noWrap w:val="false"/>
          </w:tcPr>
          <w:p>
            <w:pPr>
              <w:pStyle w:val="6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Применение учебно-методических материалов, а также обучающих материалов (информации) ЦИК России для интерактивных и дистанционных форм обучения в процессе обучения членов избирательных комиссий </w:t>
            </w:r>
            <w:r>
              <w:rPr>
                <w:sz w:val="28"/>
                <w:szCs w:val="28"/>
                <w:lang w:val="ru-RU"/>
              </w:rPr>
              <w:t xml:space="preserve">Сандовского</w:t>
            </w:r>
            <w:r>
              <w:rPr>
                <w:sz w:val="28"/>
                <w:szCs w:val="28"/>
              </w:rPr>
              <w:t xml:space="preserve"> муниципального округа (далее, МО) и других участников избирательного процесса</w:t>
            </w:r>
            <w:r>
              <w:rPr>
                <w:sz w:val="28"/>
                <w:szCs w:val="28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период</w:t>
            </w:r>
            <w:r>
              <w:rPr>
                <w:sz w:val="28"/>
                <w:szCs w:val="28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pStyle w:val="6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sz w:val="28"/>
                <w:szCs w:val="28"/>
                <w:lang w:val="ru-RU"/>
              </w:rPr>
              <w:t xml:space="preserve">Сандовского</w:t>
            </w:r>
            <w:r>
              <w:rPr>
                <w:sz w:val="28"/>
                <w:szCs w:val="28"/>
              </w:rPr>
              <w:t xml:space="preserve"> округа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(далее, ТИК)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/>
        </w:trPr>
        <w:tc>
          <w:tcPr>
            <w:tcW w:w="740" w:type="dxa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ind w:hanging="69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7754" w:type="dxa"/>
            <w:textDirection w:val="lrTb"/>
            <w:noWrap w:val="false"/>
          </w:tcPr>
          <w:p>
            <w:pPr>
              <w:pStyle w:val="6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электронных учебно-методических материалов, необходимых для организации и проведения обучения членов избирательных комиссий  и других участников избирательного процесса (презентации, иные материалы)</w:t>
            </w:r>
            <w:r>
              <w:rPr>
                <w:sz w:val="28"/>
                <w:szCs w:val="28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период</w:t>
            </w:r>
            <w:r>
              <w:rPr>
                <w:sz w:val="28"/>
                <w:szCs w:val="28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pStyle w:val="6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ТИК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/>
        </w:trPr>
        <w:tc>
          <w:tcPr>
            <w:tcW w:w="740" w:type="dxa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ind w:hanging="69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7754" w:type="dxa"/>
            <w:textDirection w:val="lrTb"/>
            <w:noWrap w:val="false"/>
          </w:tcPr>
          <w:p>
            <w:pPr>
              <w:pStyle w:val="6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проводимых ЦИК России и РЦОИТ при ЦИК России для членов избирательных комиссий обучающих мероприятиях по вопросам организации и проведения выборов в единые дни голосования </w:t>
            </w:r>
            <w:r>
              <w:rPr>
                <w:sz w:val="28"/>
                <w:szCs w:val="28"/>
              </w:rPr>
            </w:r>
          </w:p>
          <w:p>
            <w:pPr>
              <w:pStyle w:val="6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период</w:t>
            </w:r>
            <w:r>
              <w:rPr>
                <w:sz w:val="28"/>
                <w:szCs w:val="28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pStyle w:val="6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ТИК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/>
        </w:trPr>
        <w:tc>
          <w:tcPr>
            <w:tcW w:w="740" w:type="dxa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ind w:hanging="69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7754" w:type="dxa"/>
            <w:textDirection w:val="lrTb"/>
            <w:noWrap w:val="false"/>
          </w:tcPr>
          <w:p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Организация и проведение очного и заочного обучения членов территориальной и участковых избирательных комиссий (далее, УИК), резерва составов УИК согласно учебно-тематическому плану обучения (прилагается),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 том числе в период подготовки и проведения выборов депутатов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в единый день голосования 20 сентября 2026 года, том числе на портале</w:t>
            </w:r>
            <w:r>
              <w:rPr>
                <w:rFonts w:hint="default" w:eastAsia="Times New Roman" w:cs="Times New Roman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ЕПГУ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  <w:p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период </w:t>
            </w:r>
            <w:r>
              <w:rPr>
                <w:sz w:val="28"/>
                <w:szCs w:val="28"/>
              </w:rPr>
            </w:r>
          </w:p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учебно-тематическому плану обучения)</w:t>
            </w:r>
            <w:r>
              <w:rPr>
                <w:sz w:val="28"/>
                <w:szCs w:val="28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pStyle w:val="6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ТИК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/>
        </w:trPr>
        <w:tc>
          <w:tcPr>
            <w:tcW w:w="740" w:type="dxa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ind w:hanging="69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7754" w:type="dxa"/>
            <w:textDirection w:val="lrTb"/>
            <w:noWrap w:val="false"/>
          </w:tcPr>
          <w:p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Подготовка (создание) презентаций, использование</w:t>
            </w:r>
            <w:r>
              <w:rPr>
                <w:rFonts w:hint="default" w:eastAsia="Times New Roman" w:cs="Times New Roman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методических материалов</w:t>
            </w:r>
            <w:r>
              <w:rPr>
                <w:rFonts w:hint="default" w:eastAsia="Times New Roman" w:cs="Times New Roman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избирательной комиссии Тверской области для обучения членов территориальных и участковых избирательных комиссий (в электронном виде), в том числе для размещения на портале ЕПГУ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период</w:t>
            </w:r>
            <w:r>
              <w:rPr>
                <w:sz w:val="28"/>
                <w:szCs w:val="28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pStyle w:val="6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ТИК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/>
        </w:trPr>
        <w:tc>
          <w:tcPr>
            <w:tcW w:w="740" w:type="dxa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ind w:hanging="69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7754" w:type="dxa"/>
            <w:textDirection w:val="lrTb"/>
            <w:noWrap w:val="false"/>
          </w:tcPr>
          <w:p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Размещение учебных курсов и обучающих материалов на платформе на портале ЕПГУ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Июнь-сентябрь</w:t>
            </w:r>
            <w:r>
              <w:rPr>
                <w:sz w:val="28"/>
                <w:szCs w:val="28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ТИК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/>
        </w:trPr>
        <w:tc>
          <w:tcPr>
            <w:tcW w:w="740" w:type="dxa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ind w:hanging="69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7754" w:type="dxa"/>
            <w:textDirection w:val="lrTb"/>
            <w:noWrap w:val="false"/>
          </w:tcPr>
          <w:p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Контроль и оценка результатов обучения участников избирательного процесса в 2026 году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декабрь</w:t>
            </w:r>
            <w:r>
              <w:rPr>
                <w:sz w:val="28"/>
                <w:szCs w:val="28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ТИК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/>
        </w:trPr>
        <w:tc>
          <w:tcPr>
            <w:tcW w:w="740" w:type="dxa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ind w:hanging="69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7754" w:type="dxa"/>
            <w:textDirection w:val="lrTb"/>
            <w:noWrap w:val="false"/>
          </w:tcPr>
          <w:p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Участие в обучающих семинарах для наблюдателей от Общественной палаты Тверской области по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вопросам общественного наблюдения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>
              <w:rPr>
                <w:sz w:val="28"/>
                <w:szCs w:val="28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</w:t>
            </w:r>
            <w:r>
              <w:rPr>
                <w:szCs w:val="28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/>
        </w:trPr>
        <w:tc>
          <w:tcPr>
            <w:tcW w:w="740" w:type="dxa"/>
            <w:textDirection w:val="lrTb"/>
            <w:noWrap w:val="false"/>
          </w:tcPr>
          <w:p>
            <w:pPr>
              <w:pStyle w:val="674"/>
              <w:numPr>
                <w:ilvl w:val="0"/>
                <w:numId w:val="2"/>
              </w:numPr>
              <w:ind w:hanging="69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  <w:r>
              <w:rPr>
                <w:rFonts w:cs="Times New Roman"/>
                <w:szCs w:val="28"/>
              </w:rPr>
            </w:r>
          </w:p>
        </w:tc>
        <w:tc>
          <w:tcPr>
            <w:tcW w:w="7754" w:type="dxa"/>
            <w:textDirection w:val="lrTb"/>
            <w:noWrap w:val="false"/>
          </w:tcPr>
          <w:p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Организация и проведение инструктажа-обучения волонтеров в рам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ках проекта «Волонтер на выборах»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  <w:r>
              <w:rPr>
                <w:rFonts w:eastAsia="Times New Roman" w:cs="Times New Roman"/>
                <w:szCs w:val="28"/>
                <w:lang w:eastAsia="ru-RU"/>
              </w:rPr>
            </w:r>
          </w:p>
        </w:tc>
        <w:tc>
          <w:tcPr>
            <w:tcW w:w="2545" w:type="dxa"/>
            <w:textDirection w:val="lrTb"/>
            <w:noWrap w:val="false"/>
          </w:tcPr>
          <w:p>
            <w:pPr>
              <w:pStyle w:val="6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  <w:r>
              <w:rPr>
                <w:sz w:val="28"/>
                <w:szCs w:val="28"/>
              </w:rPr>
            </w:r>
          </w:p>
        </w:tc>
        <w:tc>
          <w:tcPr>
            <w:tcW w:w="3829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</w:t>
            </w:r>
            <w:r>
              <w:rPr>
                <w:szCs w:val="28"/>
              </w:rPr>
            </w:r>
          </w:p>
        </w:tc>
      </w:tr>
    </w:tbl>
    <w:p>
      <w:pPr>
        <w:ind w:left="8931"/>
        <w:jc w:val="both"/>
        <w:spacing w:before="240" w:after="240"/>
        <w:rPr>
          <w:rFonts w:eastAsia="Times New Roman" w:cs="Times New Roman"/>
          <w:szCs w:val="28"/>
          <w:lang w:eastAsia="ru-RU"/>
        </w:rPr>
        <w:sectPr>
          <w:headerReference w:type="default" r:id="rId9"/>
          <w:footerReference w:type="even" r:id="rId10"/>
          <w:footnotePr/>
          <w:endnotePr/>
          <w:type w:val="nextPage"/>
          <w:pgSz w:w="16838" w:h="11906" w:orient="landscape"/>
          <w:pgMar w:top="567" w:right="1134" w:bottom="850" w:left="1134" w:header="567" w:footer="567" w:gutter="0"/>
          <w:cols w:num="1" w:sep="0" w:space="708" w:equalWidth="1"/>
          <w:docGrid w:linePitch="360"/>
        </w:sectPr>
      </w:pP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</w:p>
    <w:p>
      <w:pPr>
        <w:ind w:left="8931"/>
        <w:jc w:val="both"/>
        <w:spacing w:before="240" w:after="240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 xml:space="preserve">к Плану мероприятий по обучению членов избирательных комиссий и других участников избирательного процесса в Сандовском муниципальном округе на 2026 год</w:t>
      </w:r>
      <w:r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</w:r>
    </w:p>
    <w:p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Учебно-тематический план обучения членов </w:t>
      </w:r>
      <w:r>
        <w:rPr>
          <w:rFonts w:eastAsia="TimesNewRomanPSMT" w:cs="Times New Roman"/>
          <w:b/>
          <w:szCs w:val="28"/>
          <w:lang w:eastAsia="ru-RU"/>
        </w:rPr>
        <w:t xml:space="preserve">ТИК Сандовского округа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eastAsia="ru-RU"/>
        </w:rPr>
      </w:r>
    </w:p>
    <w:p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</w:p>
    <w:tbl>
      <w:tblPr>
        <w:tblStyle w:val="662"/>
        <w:tblW w:w="14175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9"/>
        <w:gridCol w:w="2579"/>
        <w:gridCol w:w="4820"/>
        <w:gridCol w:w="1418"/>
        <w:gridCol w:w="1416"/>
        <w:gridCol w:w="1701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0"/>
          <w:tblHeader/>
        </w:trPr>
        <w:tc>
          <w:tcPr>
            <w:tcW w:w="53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№п/п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обучающихся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темы занятий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проведения обучения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обучения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 обучения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"/>
          <w:tblHeader/>
        </w:trPr>
        <w:tc>
          <w:tcPr>
            <w:tcW w:w="5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3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79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Изменения в избирательном законодательстве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Уточнение сведений по кандидатурам, зачисленным в резерв составов участковых комиссий. 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Порядок и сроки дополнительного формирования резерва составов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УИК.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февраль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3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79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Взаимодействие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ТИК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 с избирательными комиссиями, органами государственной власти субъектов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Р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оссийской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Ф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едераци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и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, органами местного самоуправления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март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3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79" w:type="dxa"/>
            <w:textDirection w:val="lrTb"/>
            <w:noWrap w:val="false"/>
          </w:tcPr>
          <w:p>
            <w:pPr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/>
              <w:jc w:val="both"/>
              <w:spacing w:before="120" w:after="120"/>
              <w:rPr>
                <w:rFonts w:eastAsia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календарные сроки избиратель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ных действий при подготовке и проведении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(далее - выборы).</w:t>
            </w:r>
            <w:r>
              <w:rPr>
                <w:rFonts w:eastAsia="Times New Roman" w:cs="Times New Roman"/>
                <w:iCs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апрель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3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Назначение выборов.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120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Постановления, принимаемые ТИК в период подготовки и проведения выборов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май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3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работы избирательной комиссии с обращениями граждан РФ. Решения, принимаемые ТИК, УИК по жалобам (заявлениям) граждан РФ.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jc w:val="both"/>
              <w:rPr>
                <w:rFonts w:hint="default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Общественный контроль.</w:t>
            </w:r>
            <w:r>
              <w:rPr>
                <w:rFonts w:hint="default" w:eastAsia="Times New Roman" w:cs="Times New Roman"/>
                <w:sz w:val="24"/>
                <w:szCs w:val="24"/>
                <w:lang w:val="en-US" w:eastAsia="ru-RU"/>
              </w:rPr>
              <w:t xml:space="preserve"> Работа со списком наблюдателей</w:t>
            </w:r>
            <w:r>
              <w:rPr>
                <w:rFonts w:hint="default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июнь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3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Реализация проекта ИнформУИК.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обучения обходчиков.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Построение отчетов в Информ УИК.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июль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3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работы ППЗ на выборах в Единый день голосования 20 сентября 2026 года.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июль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3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79" w:type="dxa"/>
            <w:textDirection w:val="lrTb"/>
            <w:noWrap w:val="false"/>
          </w:tcPr>
          <w:p>
            <w:pPr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ТИК и УИК с избирательными бюллетенями.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со списком избирателей.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Уточнение списка избирателей.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Избирательные действия при работе со списком избирателей.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Рассмотрение вопросов, связанных с особенностями работы с избирателями, являющимися инвалидами, в т.ч. с организацией их голосования.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Рассмотрение вопросов, связанных с особенностями работы с избирателями, молодыми избирателями и избирателями, голосующими впервые.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Использование интерактивного рабочего блокнота в работе членов участковых избирательных комиссий.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Организация работы избирательных комиссий в день, предшествующий голосованию, и в день голосования</w:t>
            </w:r>
            <w:r>
              <w:rPr>
                <w:rFonts w:eastAsia="Times New Roman" w:cs="Times New Roman"/>
                <w:sz w:val="24"/>
                <w:szCs w:val="24"/>
                <w:lang w:val="zh-CN" w:eastAsia="ru-RU"/>
              </w:rPr>
              <w:t xml:space="preserve">.</w:t>
            </w:r>
            <w:r>
              <w:rPr>
                <w:rFonts w:eastAsia="Times New Roman" w:cs="Times New Roman"/>
                <w:sz w:val="24"/>
                <w:szCs w:val="24"/>
                <w:lang w:val="zh-CN"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Организация работы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УИК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 при проведении голосования с использованием дополнительной формы голосования.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август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3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5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подсчета голосов, подведение итогов выборов.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О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рганизация работы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ТИК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 по приему протоколов и иной избирательной документации 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УИК.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Готовность избирательных комиссий к единому дню голосования.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Контрольное тестирование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на портале ЕПГУ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сентябрь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лекция, практическое занятие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</w:p>
    <w:p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</w:p>
    <w:p>
      <w:pPr>
        <w:ind w:firstLine="709"/>
        <w:jc w:val="center"/>
        <w:rPr>
          <w:rFonts w:hint="default" w:eastAsia="Times New Roman" w:cs="Times New Roman"/>
          <w:b/>
          <w:bCs/>
          <w:szCs w:val="28"/>
          <w:lang w:val="en-US" w:eastAsia="ru-RU"/>
        </w:rPr>
      </w:pPr>
      <w:r>
        <w:rPr>
          <w:rFonts w:eastAsia="Times New Roman" w:cs="Times New Roman"/>
          <w:b/>
          <w:bCs/>
          <w:sz w:val="22"/>
          <w:lang w:eastAsia="ru-RU"/>
        </w:rPr>
        <w:tab/>
      </w:r>
      <w:r>
        <w:rPr>
          <w:rFonts w:eastAsia="Times New Roman" w:cs="Times New Roman"/>
          <w:b/>
          <w:bCs/>
          <w:sz w:val="22"/>
          <w:lang w:eastAsia="ru-RU"/>
        </w:rPr>
        <w:t xml:space="preserve">О</w:t>
      </w:r>
      <w:r>
        <w:rPr>
          <w:rFonts w:eastAsia="Times New Roman" w:cs="Times New Roman"/>
          <w:b/>
          <w:bCs/>
          <w:szCs w:val="28"/>
          <w:lang w:eastAsia="ru-RU"/>
        </w:rPr>
        <w:t xml:space="preserve">бучение членов участковых</w:t>
      </w:r>
      <w:r>
        <w:rPr>
          <w:rFonts w:hint="default" w:eastAsia="Times New Roman" w:cs="Times New Roman"/>
          <w:b/>
          <w:bCs/>
          <w:szCs w:val="28"/>
          <w:lang w:val="en-US" w:eastAsia="ru-RU"/>
        </w:rPr>
        <w:t xml:space="preserve"> избирательных комиссий</w:t>
      </w:r>
      <w:r>
        <w:rPr>
          <w:rFonts w:eastAsia="Times New Roman" w:cs="Times New Roman"/>
          <w:b/>
          <w:bCs/>
          <w:szCs w:val="28"/>
          <w:lang w:eastAsia="ru-RU"/>
        </w:rPr>
        <w:t xml:space="preserve">, резерва составов УИК</w:t>
      </w:r>
      <w:r>
        <w:rPr>
          <w:rFonts w:hint="default" w:eastAsia="Times New Roman" w:cs="Times New Roman"/>
          <w:b/>
          <w:bCs/>
          <w:szCs w:val="28"/>
          <w:lang w:val="en-US" w:eastAsia="ru-RU"/>
        </w:rPr>
        <w:t xml:space="preserve"> по вопросам подготовки и проведения выборов в Единый день голосования</w:t>
      </w:r>
      <w:bookmarkStart w:id="0" w:name="_GoBack"/>
      <w:r/>
      <w:bookmarkEnd w:id="0"/>
      <w:r/>
      <w:r>
        <w:rPr>
          <w:rFonts w:hint="default" w:eastAsia="Times New Roman" w:cs="Times New Roman"/>
          <w:b/>
          <w:bCs/>
          <w:szCs w:val="28"/>
          <w:lang w:val="en-US" w:eastAsia="ru-RU"/>
        </w:rPr>
      </w:r>
    </w:p>
    <w:p>
      <w:pPr>
        <w:tabs>
          <w:tab w:val="left" w:pos="3960" w:leader="none"/>
        </w:tabs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</w:r>
      <w:r>
        <w:rPr>
          <w:rFonts w:eastAsia="Times New Roman" w:cs="Times New Roman"/>
          <w:sz w:val="22"/>
          <w:lang w:eastAsia="ru-RU"/>
        </w:rPr>
      </w:r>
    </w:p>
    <w:tbl>
      <w:tblPr>
        <w:tblStyle w:val="662"/>
        <w:tblW w:w="13748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2295"/>
        <w:gridCol w:w="4820"/>
        <w:gridCol w:w="1560"/>
        <w:gridCol w:w="1417"/>
        <w:gridCol w:w="1275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0"/>
          <w:tblHeader/>
        </w:trPr>
        <w:tc>
          <w:tcPr>
            <w:tcW w:w="54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№п/п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обучающихся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темы занятий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проведения обучения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обучения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 обучения,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ответственный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"/>
          <w:tblHeader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1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2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2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3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4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5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6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84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7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9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УИК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spacing w:after="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Организационная работа участковой комиссии: составление номенклатуры дел УИК, организация и проведение первого после назначения выборов заседания УИК, заключение гражданско-правовых договоров.</w:t>
            </w:r>
            <w: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и планирование деятельности УИК. Права и обязанности членов УИК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6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май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работа, лекции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4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9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УИК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календарные сроки избирательных действий при подготовке и проведении выборов.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Информационно-разъяснительная деятельность комиссии.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Учет расходов и финансовая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отчетность УИК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август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работа, лекции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9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УИК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со списками избирателей: уточнение списков избирателей; рассмотрение УИК заявлений граждан о включении в список избирателей; порядок включения в список избирателей.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Разъяснения реализации проекта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ИнформУИК.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Применение интерактивного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рабочего блокнота в работе УИК.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УИК с избирательными бюллетенями.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работы УИК при проведении голосования с использованием дополнительной формы голосования.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Помещение для голосования; технологическое оборудование, обеспечение безопасности на избирательном участке; взаимодействие с правоохранительными органами.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работы УИК с наблюдателями, представителями средств массовой информации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август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лекции, практические занятия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9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УИК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УИК в день, предшествующий дню (дням) голосования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сентябрь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9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УИК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УИК в день (дни) голосования: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голосования в помещении для голосования в день голосования;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УИК по организации и проведению голосования избирателей вне помещения для голосования;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УИК с сейф-пакетами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август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229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УИК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Подсчет голосов избирателей; установление итогов голосования; функции председателя, заместителя председателя и секретаря УИК;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8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Итоговое</w:t>
            </w:r>
            <w:r>
              <w:rPr>
                <w:rFonts w:hint="default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тестирование</w:t>
            </w:r>
            <w:r>
              <w:rPr>
                <w:rFonts w:hint="default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на портале ЕПГУ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сентябрь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очная,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дистанционная в личных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кабинетах на портале ЕПГУ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занятие,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контрольное тестирование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sz w:val="22"/>
          <w:lang w:eastAsia="ru-RU"/>
        </w:rPr>
        <w:tab/>
      </w:r>
      <w:r>
        <w:rPr>
          <w:rFonts w:eastAsia="Times New Roman" w:cs="Times New Roman"/>
          <w:b/>
          <w:bCs/>
          <w:sz w:val="22"/>
          <w:lang w:eastAsia="ru-RU"/>
        </w:rPr>
        <w:t xml:space="preserve">О</w:t>
      </w:r>
      <w:r>
        <w:rPr>
          <w:rFonts w:eastAsia="Times New Roman" w:cs="Times New Roman"/>
          <w:b/>
          <w:bCs/>
          <w:szCs w:val="28"/>
          <w:lang w:eastAsia="ru-RU"/>
        </w:rPr>
        <w:t xml:space="preserve">бучение</w:t>
      </w:r>
      <w:r>
        <w:rPr>
          <w:rFonts w:hint="default" w:eastAsia="Times New Roman" w:cs="Times New Roman"/>
          <w:b/>
          <w:bCs/>
          <w:szCs w:val="28"/>
          <w:lang w:val="en-US" w:eastAsia="ru-RU"/>
        </w:rPr>
        <w:t xml:space="preserve"> у</w:t>
      </w:r>
      <w:r>
        <w:rPr>
          <w:rFonts w:eastAsia="Times New Roman" w:cs="Times New Roman"/>
          <w:b/>
          <w:bCs/>
          <w:szCs w:val="28"/>
          <w:lang w:eastAsia="ru-RU"/>
        </w:rPr>
        <w:t xml:space="preserve">частников избирательного процесса</w:t>
      </w:r>
      <w:r>
        <w:rPr>
          <w:rFonts w:eastAsia="Times New Roman" w:cs="Times New Roman"/>
          <w:b/>
          <w:bCs/>
          <w:szCs w:val="28"/>
          <w:lang w:eastAsia="ru-RU"/>
        </w:rPr>
      </w:r>
    </w:p>
    <w:p>
      <w:pPr>
        <w:tabs>
          <w:tab w:val="left" w:pos="3960" w:leader="none"/>
        </w:tabs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</w:r>
      <w:r>
        <w:rPr>
          <w:rFonts w:eastAsia="Times New Roman" w:cs="Times New Roman"/>
          <w:sz w:val="22"/>
          <w:lang w:eastAsia="ru-RU"/>
        </w:rPr>
      </w:r>
    </w:p>
    <w:tbl>
      <w:tblPr>
        <w:tblStyle w:val="662"/>
        <w:tblW w:w="13748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0"/>
        <w:gridCol w:w="2295"/>
        <w:gridCol w:w="4820"/>
        <w:gridCol w:w="1560"/>
        <w:gridCol w:w="1417"/>
        <w:gridCol w:w="1275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0"/>
          <w:tblHeader/>
        </w:trPr>
        <w:tc>
          <w:tcPr>
            <w:tcW w:w="54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№п/п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обучающихся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темы занятий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проведения обучения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обучения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Организатор обучения, ответственный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"/>
          <w:tblHeader/>
        </w:trPr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41" w:type="dxa"/>
            <w:textDirection w:val="lrTb"/>
            <w:noWrap w:val="false"/>
          </w:tcPr>
          <w:p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540" w:type="dxa"/>
            <w:textDirection w:val="lrTb"/>
            <w:noWrap w:val="false"/>
          </w:tcPr>
          <w:p>
            <w:pPr>
              <w:pStyle w:val="674"/>
              <w:numPr>
                <w:ilvl w:val="3"/>
                <w:numId w:val="5"/>
              </w:numPr>
              <w:ind w:left="33" w:firstLine="141"/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Представители средств массовой информации 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Информирование и предвыборная агитация в период подготовки и проведения выборов в Единый день голосования 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both"/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июль, август</w:t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540" w:type="dxa"/>
            <w:textDirection w:val="lrTb"/>
            <w:noWrap w:val="false"/>
          </w:tcPr>
          <w:p>
            <w:pPr>
              <w:pStyle w:val="674"/>
              <w:numPr>
                <w:ilvl w:val="3"/>
                <w:numId w:val="5"/>
              </w:numPr>
              <w:ind w:left="33" w:firstLine="141"/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Представители ОВД Сандовского муниципального округа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Обеспечение правопорядка в период подготовки и проведения выборов в Единый день голосования 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сентябрь</w:t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540" w:type="dxa"/>
            <w:textDirection w:val="lrTb"/>
            <w:noWrap w:val="false"/>
          </w:tcPr>
          <w:p>
            <w:pPr>
              <w:pStyle w:val="674"/>
              <w:numPr>
                <w:ilvl w:val="3"/>
                <w:numId w:val="5"/>
              </w:numPr>
              <w:ind w:left="33" w:firstLine="141"/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Представители местных</w:t>
            </w:r>
            <w:r>
              <w:rPr>
                <w:rFonts w:hint="default" w:eastAsia="Times New Roman" w:cs="Times New Roman"/>
                <w:sz w:val="24"/>
                <w:szCs w:val="24"/>
                <w:lang w:val="en-US" w:eastAsia="ru-RU"/>
              </w:rPr>
              <w:t xml:space="preserve"> отделений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политических партий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Избирательные кампании 2026 года. 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Формирование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территориальной избирательной комиссии Сандовского округа 2026-2031 гг. </w:t>
            </w:r>
            <w:r>
              <w:rPr>
                <w:rFonts w:cs="Times New Roman"/>
                <w:sz w:val="24"/>
                <w:szCs w:val="24"/>
              </w:rPr>
              <w:t xml:space="preserve">Дополнительное зачисление в резерв составов участковых избирательных комиссий. 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март, июнь, август</w:t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540" w:type="dxa"/>
            <w:textDirection w:val="lrTb"/>
            <w:noWrap w:val="false"/>
          </w:tcPr>
          <w:p>
            <w:pPr>
              <w:pStyle w:val="674"/>
              <w:numPr>
                <w:ilvl w:val="3"/>
                <w:numId w:val="5"/>
              </w:numPr>
              <w:ind w:left="33" w:firstLine="141"/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spacing w:before="120" w:after="120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Наблюдатели от Общественной палаты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Тверской области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Правовой статус, порядок работы наблюдателей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 xml:space="preserve">а</w:t>
            </w:r>
            <w:r>
              <w:rPr>
                <w:rFonts w:cs="Times New Roman"/>
                <w:bCs/>
                <w:sz w:val="24"/>
                <w:szCs w:val="24"/>
              </w:rPr>
              <w:t xml:space="preserve">вгуст</w:t>
            </w:r>
            <w:r>
              <w:rPr>
                <w:rFonts w:hint="default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</w:rPr>
              <w:t xml:space="preserve">сентябрь</w:t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/>
        </w:trPr>
        <w:tc>
          <w:tcPr>
            <w:tcW w:w="540" w:type="dxa"/>
            <w:textDirection w:val="lrTb"/>
            <w:noWrap w:val="false"/>
          </w:tcPr>
          <w:p>
            <w:pPr>
              <w:pStyle w:val="674"/>
              <w:numPr>
                <w:ilvl w:val="3"/>
                <w:numId w:val="5"/>
              </w:numPr>
              <w:ind w:left="33" w:firstLine="141"/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Волонтеры проекта «Волонтеры на выборах!»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Оказание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</w:t>
            </w:r>
            <w:r>
              <w:rPr>
                <w:rFonts w:cs="Times New Roman"/>
                <w:sz w:val="24"/>
                <w:szCs w:val="24"/>
              </w:rPr>
              <w:t xml:space="preserve">омощи маломобильным избирателям в Единый день голосования</w:t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сентябрь</w:t>
            </w:r>
            <w:r>
              <w:rPr>
                <w:rFonts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очная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лекция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84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4"/>
                <w:szCs w:val="24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w="16838" w:h="11906" w:orient="landscape"/>
      <w:pgMar w:top="567" w:right="1134" w:bottom="850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00603000000000000"/>
  </w:font>
  <w:font w:name="Calibri">
    <w:panose1 w:val="020F05020202040302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rPr>
        <w:rStyle w:val="664"/>
      </w:rPr>
      <w:framePr w:wrap="around" w:vAnchor="text" w:hAnchor="margin" w:xAlign="right" w:y="1"/>
    </w:pPr>
    <w:r>
      <w:rPr>
        <w:rStyle w:val="664"/>
      </w:rPr>
      <w:fldChar w:fldCharType="begin"/>
    </w:r>
    <w:r>
      <w:rPr>
        <w:rStyle w:val="664"/>
      </w:rPr>
      <w:instrText xml:space="preserve">PAGE  </w:instrText>
    </w:r>
    <w:r>
      <w:rPr>
        <w:rStyle w:val="664"/>
      </w:rPr>
      <w:fldChar w:fldCharType="separate"/>
    </w:r>
    <w:r>
      <w:rPr>
        <w:rStyle w:val="664"/>
      </w:rPr>
      <w:t xml:space="preserve">20</w:t>
    </w:r>
    <w:r>
      <w:rPr>
        <w:rStyle w:val="664"/>
      </w:rPr>
      <w:fldChar w:fldCharType="end"/>
    </w:r>
    <w:r>
      <w:rPr>
        <w:rStyle w:val="664"/>
      </w:rPr>
    </w:r>
  </w:p>
  <w:p>
    <w:pPr>
      <w:pStyle w:val="66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</w:pPr>
    <w:r/>
    <w:r/>
  </w:p>
  <w:p>
    <w:pPr>
      <w:pStyle w:val="6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0"/>
    <w:next w:val="66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0"/>
    <w:next w:val="66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0"/>
    <w:next w:val="66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0"/>
    <w:next w:val="66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0"/>
    <w:next w:val="66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1"/>
    <w:link w:val="34"/>
    <w:uiPriority w:val="10"/>
    <w:rPr>
      <w:sz w:val="48"/>
      <w:szCs w:val="48"/>
    </w:rPr>
  </w:style>
  <w:style w:type="paragraph" w:styleId="36">
    <w:name w:val="Subtitle"/>
    <w:basedOn w:val="660"/>
    <w:next w:val="66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1"/>
    <w:link w:val="36"/>
    <w:uiPriority w:val="11"/>
    <w:rPr>
      <w:sz w:val="24"/>
      <w:szCs w:val="24"/>
    </w:rPr>
  </w:style>
  <w:style w:type="paragraph" w:styleId="38">
    <w:name w:val="Quote"/>
    <w:basedOn w:val="660"/>
    <w:next w:val="6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0"/>
    <w:next w:val="66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1"/>
    <w:link w:val="667"/>
    <w:uiPriority w:val="99"/>
  </w:style>
  <w:style w:type="character" w:styleId="45">
    <w:name w:val="Footer Char"/>
    <w:basedOn w:val="661"/>
    <w:link w:val="668"/>
    <w:uiPriority w:val="99"/>
  </w:style>
  <w:style w:type="paragraph" w:styleId="46">
    <w:name w:val="Caption"/>
    <w:basedOn w:val="660"/>
    <w:next w:val="66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1"/>
    <w:uiPriority w:val="99"/>
    <w:unhideWhenUsed/>
    <w:rPr>
      <w:vertAlign w:val="superscript"/>
    </w:rPr>
  </w:style>
  <w:style w:type="paragraph" w:styleId="178">
    <w:name w:val="endnote text"/>
    <w:basedOn w:val="6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1"/>
    <w:uiPriority w:val="99"/>
    <w:semiHidden/>
    <w:unhideWhenUsed/>
    <w:rPr>
      <w:vertAlign w:val="superscript"/>
    </w:rPr>
  </w:style>
  <w:style w:type="paragraph" w:styleId="181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uiPriority w:val="0"/>
    <w:qFormat/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3">
    <w:name w:val="Hyperlink"/>
    <w:basedOn w:val="661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64">
    <w:name w:val="page number"/>
    <w:uiPriority w:val="0"/>
    <w:qFormat/>
    <w:rPr>
      <w:rFonts w:ascii="Times New Roman" w:hAnsi="Times New Roman"/>
      <w:sz w:val="22"/>
    </w:rPr>
  </w:style>
  <w:style w:type="character" w:styleId="665">
    <w:name w:val="Strong"/>
    <w:uiPriority w:val="22"/>
    <w:qFormat/>
    <w:rPr>
      <w:b/>
      <w:bCs/>
    </w:rPr>
  </w:style>
  <w:style w:type="paragraph" w:styleId="666">
    <w:name w:val="Balloon Text"/>
    <w:basedOn w:val="660"/>
    <w:link w:val="673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667">
    <w:name w:val="Header"/>
    <w:basedOn w:val="660"/>
    <w:link w:val="671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68">
    <w:name w:val="Footer"/>
    <w:basedOn w:val="660"/>
    <w:link w:val="672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table" w:styleId="669">
    <w:name w:val="Table Grid"/>
    <w:basedOn w:val="662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0" w:customStyle="1">
    <w:name w:val="Сетка таблицы1"/>
    <w:basedOn w:val="662"/>
    <w:uiPriority w:val="59"/>
    <w:qFormat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1" w:customStyle="1">
    <w:name w:val="Верхний колонтитул Знак"/>
    <w:basedOn w:val="661"/>
    <w:link w:val="667"/>
    <w:uiPriority w:val="99"/>
    <w:qFormat/>
  </w:style>
  <w:style w:type="character" w:styleId="672" w:customStyle="1">
    <w:name w:val="Нижний колонтитул Знак"/>
    <w:basedOn w:val="661"/>
    <w:link w:val="668"/>
    <w:uiPriority w:val="99"/>
    <w:qFormat/>
  </w:style>
  <w:style w:type="character" w:styleId="673" w:customStyle="1">
    <w:name w:val="Текст выноски Знак"/>
    <w:basedOn w:val="661"/>
    <w:link w:val="666"/>
    <w:uiPriority w:val="99"/>
    <w:semiHidden/>
    <w:qFormat/>
    <w:rPr>
      <w:rFonts w:ascii="Tahoma" w:hAnsi="Tahoma" w:cs="Tahoma"/>
      <w:sz w:val="16"/>
      <w:szCs w:val="16"/>
    </w:rPr>
  </w:style>
  <w:style w:type="paragraph" w:styleId="674">
    <w:name w:val="List Paragraph"/>
    <w:basedOn w:val="660"/>
    <w:uiPriority w:val="34"/>
    <w:qFormat/>
    <w:pPr>
      <w:contextualSpacing/>
      <w:ind w:left="720"/>
    </w:pPr>
  </w:style>
  <w:style w:type="paragraph" w:styleId="675" w:customStyle="1">
    <w:name w:val="текст14-15"/>
    <w:basedOn w:val="660"/>
    <w:uiPriority w:val="0"/>
    <w:qFormat/>
    <w:pPr>
      <w:ind w:firstLine="709"/>
      <w:jc w:val="both"/>
      <w:spacing w:line="360" w:lineRule="auto"/>
    </w:pPr>
    <w:rPr>
      <w:rFonts w:eastAsia="Times New Roman" w:cs="Times New Roman"/>
      <w:szCs w:val="20"/>
      <w:lang w:eastAsia="ru-RU"/>
    </w:rPr>
  </w:style>
  <w:style w:type="table" w:styleId="676" w:customStyle="1">
    <w:name w:val="Сетка таблицы2"/>
    <w:basedOn w:val="662"/>
    <w:uiPriority w:val="59"/>
    <w:qFormat/>
    <w:rPr>
      <w:rFonts w:ascii="Calibri" w:hAnsi="Calibr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7" w:customStyle="1">
    <w:name w:val="ConsPlusNormal"/>
    <w:uiPriority w:val="0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78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  <w:sz w:val="24"/>
      <w:szCs w:val="24"/>
      <w:lang w:val="ru-RU" w:eastAsia="ru-RU" w:bidi="ar-SA"/>
    </w:rPr>
  </w:style>
  <w:style w:type="numbering" w:styleId="358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A29B-E9CB-4A8B-9419-7EEC1EAB7120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ТИК Калязинского района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35</cp:revision>
  <dcterms:created xsi:type="dcterms:W3CDTF">2017-03-09T08:38:00Z</dcterms:created>
  <dcterms:modified xsi:type="dcterms:W3CDTF">2026-01-20T07:29:09Z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CB44CB71CD2B48389F09B780A0B3979D_13</vt:lpwstr>
  </property>
</Properties>
</file>